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C784E" w:rsidRPr="00067214" w:rsidRDefault="00DB57F1">
      <w:pPr>
        <w:rPr>
          <w:rFonts w:asciiTheme="minorEastAsia" w:eastAsiaTheme="minorEastAsia" w:hAnsiTheme="minorEastAsia" w:cs="黑体"/>
          <w:b/>
          <w:sz w:val="28"/>
          <w:szCs w:val="32"/>
        </w:rPr>
      </w:pPr>
      <w:bookmarkStart w:id="0" w:name="红头"/>
      <w:r w:rsidRPr="00067214">
        <w:rPr>
          <w:rFonts w:asciiTheme="minorEastAsia" w:eastAsiaTheme="minorEastAsia" w:hAnsiTheme="minorEastAsia" w:cs="黑体" w:hint="eastAsia"/>
          <w:b/>
          <w:sz w:val="28"/>
          <w:szCs w:val="32"/>
        </w:rPr>
        <w:t>附件2</w:t>
      </w:r>
      <w:r w:rsidR="00067214" w:rsidRPr="00067214">
        <w:rPr>
          <w:rFonts w:asciiTheme="minorEastAsia" w:eastAsiaTheme="minorEastAsia" w:hAnsiTheme="minorEastAsia" w:cs="黑体" w:hint="eastAsia"/>
          <w:b/>
          <w:sz w:val="28"/>
          <w:szCs w:val="32"/>
        </w:rPr>
        <w:t>：</w:t>
      </w:r>
    </w:p>
    <w:p w:rsidR="00BC784E" w:rsidRDefault="00DB57F1" w:rsidP="00D93BD6">
      <w:pPr>
        <w:spacing w:beforeLines="50" w:before="217" w:afterLines="50" w:after="217" w:line="360" w:lineRule="auto"/>
        <w:jc w:val="center"/>
        <w:rPr>
          <w:rFonts w:ascii="宋体" w:eastAsia="宋体" w:hAnsi="宋体"/>
          <w:b/>
          <w:sz w:val="44"/>
          <w:szCs w:val="28"/>
        </w:rPr>
      </w:pPr>
      <w:bookmarkStart w:id="1" w:name="_GoBack"/>
      <w:bookmarkEnd w:id="1"/>
      <w:r>
        <w:rPr>
          <w:rFonts w:ascii="宋体" w:eastAsia="宋体" w:hAnsi="宋体" w:hint="eastAsia"/>
          <w:b/>
          <w:sz w:val="44"/>
          <w:szCs w:val="28"/>
        </w:rPr>
        <w:t>更年期保健</w:t>
      </w:r>
      <w:r w:rsidR="00570FEA">
        <w:rPr>
          <w:rFonts w:ascii="宋体" w:eastAsia="宋体" w:hAnsi="宋体" w:hint="eastAsia"/>
          <w:b/>
          <w:sz w:val="44"/>
          <w:szCs w:val="28"/>
        </w:rPr>
        <w:t>省级优</w:t>
      </w:r>
      <w:r w:rsidR="00D93BD6">
        <w:rPr>
          <w:rFonts w:ascii="宋体" w:eastAsia="宋体" w:hAnsi="宋体" w:hint="eastAsia"/>
          <w:b/>
          <w:sz w:val="44"/>
          <w:szCs w:val="28"/>
        </w:rPr>
        <w:t>势</w:t>
      </w:r>
      <w:r>
        <w:rPr>
          <w:rFonts w:ascii="宋体" w:eastAsia="宋体" w:hAnsi="宋体" w:hint="eastAsia"/>
          <w:b/>
          <w:sz w:val="44"/>
          <w:szCs w:val="28"/>
        </w:rPr>
        <w:t>专科评估标准（202</w:t>
      </w:r>
      <w:r w:rsidR="00D93BD6">
        <w:rPr>
          <w:rFonts w:ascii="宋体" w:eastAsia="宋体" w:hAnsi="宋体" w:hint="eastAsia"/>
          <w:b/>
          <w:sz w:val="44"/>
          <w:szCs w:val="28"/>
        </w:rPr>
        <w:t>4</w:t>
      </w:r>
      <w:r>
        <w:rPr>
          <w:rFonts w:ascii="宋体" w:eastAsia="宋体" w:hAnsi="宋体" w:hint="eastAsia"/>
          <w:b/>
          <w:sz w:val="44"/>
          <w:szCs w:val="28"/>
        </w:rPr>
        <w:t>版）</w:t>
      </w:r>
    </w:p>
    <w:tbl>
      <w:tblPr>
        <w:tblW w:w="151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2086"/>
        <w:gridCol w:w="2973"/>
        <w:gridCol w:w="8745"/>
      </w:tblGrid>
      <w:tr w:rsidR="00BC784E">
        <w:trPr>
          <w:trHeight w:val="440"/>
          <w:jc w:val="center"/>
        </w:trPr>
        <w:tc>
          <w:tcPr>
            <w:tcW w:w="1370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b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b/>
                <w:kern w:val="0"/>
                <w:sz w:val="20"/>
                <w:szCs w:val="20"/>
              </w:rPr>
              <w:t>评估指标</w:t>
            </w:r>
          </w:p>
        </w:tc>
        <w:tc>
          <w:tcPr>
            <w:tcW w:w="5059" w:type="dxa"/>
            <w:gridSpan w:val="2"/>
            <w:vAlign w:val="center"/>
          </w:tcPr>
          <w:p w:rsidR="00BC784E" w:rsidRPr="00570FEA" w:rsidRDefault="00DB57F1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b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b/>
                <w:kern w:val="0"/>
                <w:sz w:val="20"/>
                <w:szCs w:val="20"/>
              </w:rPr>
              <w:t>评估内容</w:t>
            </w:r>
          </w:p>
        </w:tc>
        <w:tc>
          <w:tcPr>
            <w:tcW w:w="8745" w:type="dxa"/>
            <w:tcBorders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b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b/>
                <w:kern w:val="0"/>
                <w:sz w:val="20"/>
                <w:szCs w:val="20"/>
              </w:rPr>
              <w:t>评估标准</w:t>
            </w:r>
          </w:p>
        </w:tc>
      </w:tr>
      <w:tr w:rsidR="00BC784E">
        <w:trPr>
          <w:trHeight w:val="90"/>
          <w:jc w:val="center"/>
        </w:trPr>
        <w:tc>
          <w:tcPr>
            <w:tcW w:w="1370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1.专科建设（100分）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1.1专科发展规划（40分）</w:t>
            </w: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1.1.1制定更年期保健专科发展规划，促进专科发展（40分）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1.更年期保健工作被纳入机构整体发展规划，确定更年期保健业务重点发展方向和目标（10分）</w:t>
            </w:r>
          </w:p>
        </w:tc>
      </w:tr>
      <w:tr w:rsidR="00BC784E">
        <w:trPr>
          <w:trHeight w:val="9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2.有更年期保健专科发展规划(3-5年)，内容包括目标任务、措施、评估指标、激励机制等，并开展评估（10分）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ind w:rightChars="-32" w:right="-102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3.本机构重视更年期保健工作，近3年对更年期保健工作有专项经费支持，主要包括本机构对更年期保健日常工作、软件和硬件建设等工作的经费支持（10分）</w:t>
            </w:r>
          </w:p>
        </w:tc>
      </w:tr>
      <w:tr w:rsidR="00BC784E">
        <w:trPr>
          <w:trHeight w:val="9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4.更年期保健门诊的开设时间≥5年，且有更年期保健诊疗科目（10分）</w:t>
            </w:r>
          </w:p>
        </w:tc>
      </w:tr>
      <w:tr w:rsidR="00BC784E">
        <w:trPr>
          <w:trHeight w:val="314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1.2专科制度（40分）</w:t>
            </w: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1.2.1建立健全并严格执行专科规范和制度，加强专科管理（40分）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1.制定并执行专科岗位职责、主要诊疗常规/规范，符合《更年期保健专科建设和管理指南》的相关要求（10分）</w:t>
            </w:r>
          </w:p>
        </w:tc>
      </w:tr>
      <w:tr w:rsidR="00BC784E">
        <w:trPr>
          <w:trHeight w:val="9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2.制定并执行专科管理制度，符合《更年期保健专科建设和管理指南》的相关要求（10分）</w:t>
            </w:r>
          </w:p>
        </w:tc>
      </w:tr>
      <w:tr w:rsidR="00BC784E">
        <w:trPr>
          <w:trHeight w:val="9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3.服务记录表单齐全，符合《更年期保健专科建设和管理指南》的相关要求（10分）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4.制定方便就医的服务流程，并有落实措施（10分）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1.3多学科协作（20分）</w:t>
            </w: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1.3.1为更年期妇女提供综合性、多学科、全方位的医疗保健服务（20分）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1.建立更年期保健多学科协作团队，并有相关文件（10分）</w:t>
            </w:r>
          </w:p>
        </w:tc>
      </w:tr>
      <w:tr w:rsidR="00BC784E">
        <w:trPr>
          <w:trHeight w:val="60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2.建立更年期保健门诊与其他科室会诊、转诊、病例讨论机制，有更年期保健多学科协作工作流程，体现各方职责，并有相关资料和记录（10分）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2.专科服务（590分）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2.1服务提供（540分）</w:t>
            </w:r>
          </w:p>
        </w:tc>
        <w:tc>
          <w:tcPr>
            <w:tcW w:w="2973" w:type="dxa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2.1.1服务量（30分）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近3年更年期保健门诊年均门诊量≥3000人次/年（30分），＜3000人次/年按比例得分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2.1.2筛查评估（30分）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1.服务内容规范、齐全（10分）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2.近3年筛查评估年均服务量≥1000人次/年（20分），＜1000人次/年按比例得分</w:t>
            </w:r>
          </w:p>
        </w:tc>
      </w:tr>
      <w:tr w:rsidR="00BC784E">
        <w:trPr>
          <w:trHeight w:val="9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2.1.3健康档案建立与管理（75分）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1.建立针对更年期保健的专科病历系统或者平台，并定期进行工作数据总结、数据核查和质量控制（30分）</w:t>
            </w:r>
          </w:p>
        </w:tc>
      </w:tr>
      <w:tr w:rsidR="00BC784E">
        <w:trPr>
          <w:trHeight w:val="29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2.健康档案内容规范齐全，涵盖营养与体重管理、运动指导、心理保健等（15分）</w:t>
            </w:r>
          </w:p>
        </w:tc>
      </w:tr>
      <w:tr w:rsidR="00BC784E">
        <w:trPr>
          <w:trHeight w:val="284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3.近3年建立健康档案年均份数≥1000份（15分），＜1000份按比例得分</w:t>
            </w:r>
          </w:p>
        </w:tc>
      </w:tr>
      <w:tr w:rsidR="00BC784E">
        <w:trPr>
          <w:trHeight w:val="13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 w:rsidP="00EB114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4.健康档案专人专案管理，并定期进行随访、记录，20</w:t>
            </w:r>
            <w:r w:rsidR="00EB114D"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23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年健康档案随访率≥80%（15分），＜80%按比例得分</w:t>
            </w:r>
          </w:p>
        </w:tc>
      </w:tr>
      <w:tr w:rsidR="00BC784E">
        <w:trPr>
          <w:trHeight w:val="24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2.1.4营养与体重管理（40分）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1.服务内容规范齐全（10分）</w:t>
            </w:r>
          </w:p>
        </w:tc>
      </w:tr>
      <w:tr w:rsidR="00BC784E">
        <w:trPr>
          <w:trHeight w:val="157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2.在三级预防各层面均有具体可操作的关键性保健技术（10分）</w:t>
            </w:r>
          </w:p>
        </w:tc>
      </w:tr>
      <w:tr w:rsidR="00BC784E">
        <w:trPr>
          <w:trHeight w:val="136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3.病历文书内容合理、完整（10分）</w:t>
            </w:r>
          </w:p>
        </w:tc>
      </w:tr>
      <w:tr w:rsidR="00BC784E">
        <w:trPr>
          <w:trHeight w:val="26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4.近3年营养状况评估年均服务量≥1000人次/年（10分），＜1000人次/年按比例得分</w:t>
            </w:r>
          </w:p>
        </w:tc>
      </w:tr>
      <w:tr w:rsidR="00BC784E">
        <w:trPr>
          <w:trHeight w:val="179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2.1.5运动指导和管理（40分）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1.服务内容规范齐全（10分）</w:t>
            </w:r>
          </w:p>
        </w:tc>
      </w:tr>
      <w:tr w:rsidR="00BC784E">
        <w:trPr>
          <w:trHeight w:val="29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2.在三级预防各层面均有具体可操作的关键性保健技术（10分）</w:t>
            </w:r>
          </w:p>
        </w:tc>
      </w:tr>
      <w:tr w:rsidR="00BC784E">
        <w:trPr>
          <w:trHeight w:val="29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3.病历文书内容合理、完整（10分）</w:t>
            </w:r>
          </w:p>
        </w:tc>
      </w:tr>
      <w:tr w:rsidR="00BC784E">
        <w:trPr>
          <w:trHeight w:val="31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4.近3年运动功能评估年均服务量≥1000人次/年（10分），＜1000人次/年按比例得分</w:t>
            </w:r>
          </w:p>
        </w:tc>
      </w:tr>
      <w:tr w:rsidR="00BC784E">
        <w:trPr>
          <w:trHeight w:val="272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2.1.6心理保健（40分）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1.服务内容规范齐全（10分）</w:t>
            </w:r>
          </w:p>
        </w:tc>
      </w:tr>
      <w:tr w:rsidR="00BC784E">
        <w:trPr>
          <w:trHeight w:val="27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2.在三级预防各层面均有具体的服务措施和内容，并有可操作的关键性保健技术（10分）</w:t>
            </w:r>
          </w:p>
        </w:tc>
      </w:tr>
      <w:tr w:rsidR="00BC784E">
        <w:trPr>
          <w:trHeight w:val="22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3.病历文书内容合理、完整（10分）</w:t>
            </w:r>
          </w:p>
        </w:tc>
      </w:tr>
      <w:tr w:rsidR="00BC784E">
        <w:trPr>
          <w:trHeight w:val="292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4.近3年心理状况评估年均服务量≥1000人次/年（10分），＜1000人次/年按比例得分</w:t>
            </w:r>
          </w:p>
        </w:tc>
      </w:tr>
      <w:tr w:rsidR="00BC784E">
        <w:trPr>
          <w:trHeight w:val="257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2.1.7性与生殖保健（40分）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1.服务内容规范齐全（10分）</w:t>
            </w:r>
          </w:p>
        </w:tc>
      </w:tr>
      <w:tr w:rsidR="00BC784E">
        <w:trPr>
          <w:trHeight w:val="33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2.在三级预防各层面均有具体的服务措施和内容，并有可操作的关键性保健技术（10分）</w:t>
            </w:r>
          </w:p>
        </w:tc>
      </w:tr>
      <w:tr w:rsidR="00BC784E">
        <w:trPr>
          <w:trHeight w:val="30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3.病历文书内容合理、完整（10分）</w:t>
            </w:r>
          </w:p>
        </w:tc>
      </w:tr>
      <w:tr w:rsidR="00BC784E">
        <w:trPr>
          <w:trHeight w:val="439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4.近3年年均服务量（性生活评分、性保健指导、避孕指导、生殖道炎症诊治等）≥1000人次/年（10分），＜1000人次/年按比例得分</w:t>
            </w:r>
          </w:p>
        </w:tc>
      </w:tr>
      <w:tr w:rsidR="00BC784E">
        <w:trPr>
          <w:trHeight w:val="232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2.1.8性激素治疗与管理（90分）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1.服务内容规范齐全（30分）</w:t>
            </w:r>
          </w:p>
        </w:tc>
      </w:tr>
      <w:tr w:rsidR="00BC784E">
        <w:trPr>
          <w:trHeight w:val="31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2.病历及专案管理档案内容合理、完整（30分）</w:t>
            </w:r>
          </w:p>
        </w:tc>
      </w:tr>
      <w:tr w:rsidR="00BC784E">
        <w:trPr>
          <w:trHeight w:val="498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 w:rsidP="00EB114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3.近3年性激素治疗患者专案管理率逐年提高（10分），20</w:t>
            </w:r>
            <w:r w:rsidR="00EB114D"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23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年性激素治疗患者专案管理率≥80%（20分），＜80%按比例得分</w:t>
            </w:r>
          </w:p>
        </w:tc>
      </w:tr>
      <w:tr w:rsidR="00BC784E">
        <w:trPr>
          <w:trHeight w:val="25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2.1.9盆底康复（40分）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1.服务内容规范齐全（10分）</w:t>
            </w:r>
          </w:p>
        </w:tc>
      </w:tr>
      <w:tr w:rsidR="00BC784E">
        <w:trPr>
          <w:trHeight w:val="276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2.在三级预防各层面均有具体的服务措施和内容，并有可操作的关键性保健技术（10分）</w:t>
            </w:r>
          </w:p>
        </w:tc>
      </w:tr>
      <w:tr w:rsidR="00BC784E">
        <w:trPr>
          <w:trHeight w:val="27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3.病历文书内容合理、完整（10分）</w:t>
            </w:r>
          </w:p>
        </w:tc>
      </w:tr>
      <w:tr w:rsidR="00BC784E">
        <w:trPr>
          <w:trHeight w:val="271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4.近3年盆底康复指导年均服务量≥1000人次/年（10分），＜1000人次/年按比例得分</w:t>
            </w:r>
          </w:p>
        </w:tc>
      </w:tr>
      <w:tr w:rsidR="00BC784E">
        <w:trPr>
          <w:trHeight w:val="223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2.1.10中医药保健与治疗（40分）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1.服务内容规范齐全（10分）</w:t>
            </w:r>
          </w:p>
        </w:tc>
      </w:tr>
      <w:tr w:rsidR="00BC784E">
        <w:trPr>
          <w:trHeight w:val="28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2.在三级预防各层面均有具体的服务措施和内容，并有可操作的关键性保健技术（10分）</w:t>
            </w:r>
          </w:p>
        </w:tc>
      </w:tr>
      <w:tr w:rsidR="00BC784E">
        <w:trPr>
          <w:trHeight w:val="33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3.病历文书内容合理、完整（10分）</w:t>
            </w:r>
          </w:p>
        </w:tc>
      </w:tr>
      <w:tr w:rsidR="00BC784E">
        <w:trPr>
          <w:trHeight w:val="234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4.近3年中医药保健与治疗年均服务量≥1000人次/年（10分），＜1000人次/年按比例得分</w:t>
            </w:r>
          </w:p>
        </w:tc>
      </w:tr>
      <w:tr w:rsidR="00BC784E">
        <w:trPr>
          <w:trHeight w:val="307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lef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2.1.11健康教育（75分）</w:t>
            </w:r>
          </w:p>
        </w:tc>
        <w:tc>
          <w:tcPr>
            <w:tcW w:w="87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1.有年度工作计划和工作方案（5分），工作管理档案完整、规范（5分）</w:t>
            </w:r>
          </w:p>
        </w:tc>
      </w:tr>
      <w:tr w:rsidR="00BC784E">
        <w:trPr>
          <w:trHeight w:val="27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2.本机构有系统、实用、有针对性的更年期保健健康教育材料，须体现更年期保健核心信息（5分）</w:t>
            </w:r>
          </w:p>
        </w:tc>
      </w:tr>
      <w:tr w:rsidR="00BC784E">
        <w:trPr>
          <w:trHeight w:val="265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3.每年至少开展1次更年期保健门诊患者核心信息知晓情况调查（5分），根据调查结果有针对性地开展健康教育活动，并有持续改进措施（5分）</w:t>
            </w:r>
          </w:p>
        </w:tc>
      </w:tr>
      <w:tr w:rsidR="00BC784E">
        <w:trPr>
          <w:trHeight w:val="207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4.近3年院内更年期健康教育活动≥10次/年（10分），＜10次/年按比例得分</w:t>
            </w:r>
          </w:p>
        </w:tc>
      </w:tr>
      <w:tr w:rsidR="00BC784E">
        <w:trPr>
          <w:trHeight w:val="313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5.近3年本机构与社会多部门联合开展院外更年期健康教育活动次数≥4次/年（10分），＜4次/年按比例得分</w:t>
            </w:r>
          </w:p>
        </w:tc>
      </w:tr>
      <w:tr w:rsidR="00BC784E">
        <w:trPr>
          <w:trHeight w:val="534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 w:rsidP="00EB114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6.利用微信公众号、微博、抖音、快手等新媒体渠道开展健康教育活动，新媒体健康教育渠道≥5种（10分）；20</w:t>
            </w:r>
            <w:r w:rsidR="00EB114D"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23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年新媒体健康教育作品数量≥10份、并有一定社会影响力（10分）</w:t>
            </w:r>
          </w:p>
        </w:tc>
      </w:tr>
      <w:tr w:rsidR="00BC784E">
        <w:trPr>
          <w:trHeight w:val="332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7.每年至少开展1次更年期保健健康教育满意度调查（5分），近3年更年期保健健康教育活动满意度≥90%（5分），＜90%按比例得分</w:t>
            </w:r>
          </w:p>
        </w:tc>
      </w:tr>
      <w:tr w:rsidR="00BC784E">
        <w:trPr>
          <w:trHeight w:val="70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2.2服务模式（50分）</w:t>
            </w: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2.2.1特色服务模式（50分）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建立以人为本、多学科协作服务模式，提供一站式、连续性、个体化优质便民服务，并有近3年的考核指标、效果评价等（50分）</w:t>
            </w:r>
          </w:p>
        </w:tc>
      </w:tr>
      <w:tr w:rsidR="00BC784E">
        <w:trPr>
          <w:trHeight w:val="498"/>
          <w:jc w:val="center"/>
        </w:trPr>
        <w:tc>
          <w:tcPr>
            <w:tcW w:w="1370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3.人力资源（80分）</w:t>
            </w:r>
          </w:p>
        </w:tc>
        <w:tc>
          <w:tcPr>
            <w:tcW w:w="2086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bCs/>
                <w:snapToGrid w:val="0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3.1医护人员（50分）</w:t>
            </w:r>
          </w:p>
        </w:tc>
        <w:tc>
          <w:tcPr>
            <w:tcW w:w="2973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3.1.1人才梯队建设（20分）</w:t>
            </w:r>
          </w:p>
        </w:tc>
        <w:tc>
          <w:tcPr>
            <w:tcW w:w="8745" w:type="dxa"/>
            <w:tcBorders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1.制定更年期保健人才培养计划和实施方案，有体现人才培养效果和激励机制的量化评分标准，并予以落实（5分）</w:t>
            </w:r>
          </w:p>
        </w:tc>
      </w:tr>
      <w:tr w:rsidR="00BC784E">
        <w:trPr>
          <w:trHeight w:val="29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2.更年期保健门诊高级职称医师数量≥3人（5分），＜3人按比例得分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bCs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3.建立并落实学科带头人选拔与激励机制，有相应的量化评分标准，并予以落实（10分）</w:t>
            </w:r>
          </w:p>
        </w:tc>
      </w:tr>
      <w:tr w:rsidR="00BC784E">
        <w:trPr>
          <w:trHeight w:val="632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bCs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3.1.2人员资质（10分）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更年期保健门诊的人员均具备相应的执业资质，并具备妇产科/妇女保健专业知识和技能（10分）。有1人不符合条件，则不得分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3.1.3人才培养（20分）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1.建立并实施更年期保健门诊人员规范化培训、岗位培训制度（包括妇科内分泌、心理、营养等），有相应的量化评分标准，并予以落实（10分）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vAlign w:val="center"/>
          </w:tcPr>
          <w:p w:rsidR="00BC784E" w:rsidRPr="00570FEA" w:rsidRDefault="00DB57F1" w:rsidP="00EB114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2.20</w:t>
            </w:r>
            <w:r w:rsidR="00EB114D"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21-2023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年组织更年期保健门诊人员进行业务学习次数≥10次（5分），＜10次按比例得分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vAlign w:val="center"/>
          </w:tcPr>
          <w:p w:rsidR="00BC784E" w:rsidRPr="00570FEA" w:rsidRDefault="00DB57F1" w:rsidP="00EB114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3.20</w:t>
            </w:r>
            <w:r w:rsidR="00EB114D"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21-2023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年派员参加更年期保健领域的国内外学术会议及培训班≥5人次（5分），＜5人次按比例得分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3.2专科负责人</w:t>
            </w: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（15分）</w:t>
            </w: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3.2.1技术职务（5分）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高级专业技术职称（5分）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3.2.2工作年限（5分）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8年以上妇产科或妇女保健工作经验（5分）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3.2.3管理能力（5分）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5年以上管理工作经验（5分）</w:t>
            </w:r>
          </w:p>
        </w:tc>
      </w:tr>
      <w:tr w:rsidR="00BC784E">
        <w:trPr>
          <w:trHeight w:val="18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3.3学科带头人</w:t>
            </w: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（15分）</w:t>
            </w: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3.3.1技术职务（5分）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高级专业技术职称（5分）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3.3.2工作年限（5分）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10年以上妇产科或妇女保健工作经验（5分）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3.3.3学术团体任职（5分）</w:t>
            </w:r>
          </w:p>
        </w:tc>
        <w:tc>
          <w:tcPr>
            <w:tcW w:w="8745" w:type="dxa"/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近3年在国家级更年期保健领域相关学术团体中担任常委以上职务，或在省级更年期保健领域相关学术团体中担任主委/副主委（5分）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 w:val="restart"/>
            <w:tcBorders>
              <w:top w:val="single" w:sz="4" w:space="0" w:color="000000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4.服务场所设备设施（70分）</w:t>
            </w:r>
          </w:p>
        </w:tc>
        <w:tc>
          <w:tcPr>
            <w:tcW w:w="2086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4.1房屋（40分）</w:t>
            </w: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4.1.1房屋设置（20分）</w:t>
            </w:r>
          </w:p>
        </w:tc>
        <w:tc>
          <w:tcPr>
            <w:tcW w:w="8745" w:type="dxa"/>
            <w:tcBorders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设置诊室、检查室、心理检测室、功能检查室等（20分）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4.1.2建筑布局（20分）</w:t>
            </w:r>
          </w:p>
        </w:tc>
        <w:tc>
          <w:tcPr>
            <w:tcW w:w="8745" w:type="dxa"/>
            <w:tcBorders>
              <w:bottom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各区域布局合理，就诊便捷，并有良好的私密性（20分）</w:t>
            </w:r>
          </w:p>
        </w:tc>
      </w:tr>
      <w:tr w:rsidR="00BC784E">
        <w:trPr>
          <w:trHeight w:val="254"/>
          <w:jc w:val="center"/>
        </w:trPr>
        <w:tc>
          <w:tcPr>
            <w:tcW w:w="1370" w:type="dxa"/>
            <w:vMerge/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4.2设备（30分）</w:t>
            </w:r>
          </w:p>
        </w:tc>
        <w:tc>
          <w:tcPr>
            <w:tcW w:w="2973" w:type="dxa"/>
            <w:vMerge w:val="restart"/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4.2.1.基本设备（30分）</w:t>
            </w:r>
          </w:p>
        </w:tc>
        <w:tc>
          <w:tcPr>
            <w:tcW w:w="8745" w:type="dxa"/>
            <w:tcBorders>
              <w:bottom w:val="single" w:sz="4" w:space="0" w:color="auto"/>
            </w:tcBorders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1.更年期保健门诊设备配备率≥95%（15分），＜95%按比例得分</w:t>
            </w:r>
          </w:p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更年期保健门诊应配备的设备包括：体重秤、血压计、妇科检查床及相关检查设备、人体成分分析仪、盆底功能康复设备、更年期综合征筛查相关量表、营养和心理评估工具等。</w:t>
            </w:r>
          </w:p>
        </w:tc>
      </w:tr>
      <w:tr w:rsidR="00BC784E">
        <w:trPr>
          <w:trHeight w:val="755"/>
          <w:jc w:val="center"/>
        </w:trPr>
        <w:tc>
          <w:tcPr>
            <w:tcW w:w="1370" w:type="dxa"/>
            <w:vMerge/>
            <w:tcBorders>
              <w:bottom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bottom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bottom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bottom w:val="single" w:sz="4" w:space="0" w:color="auto"/>
            </w:tcBorders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2.机构其他基本设备配备率≥95%（15分），＜95%按比例得分</w:t>
            </w:r>
          </w:p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机构内应配备的其他基本设备包括：心电图仪、B超诊断仪、骨密度检查设备（双能X线或定量CT）、阴道镜、乳腺X线摄影系统、血尿常规、血生化、生殖道分泌物、内分泌等检测设备、宫颈细胞学采集设备等。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5.专科管理</w:t>
            </w: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（160分）</w:t>
            </w:r>
          </w:p>
        </w:tc>
        <w:tc>
          <w:tcPr>
            <w:tcW w:w="2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5.1科研情况（70分）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5.1.1科研课题/项目（</w:t>
            </w:r>
            <w:r w:rsidRPr="00570FEA"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  <w:t>45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 w:rsidP="00EB114D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1.近10年牵头负责与本专科有关的国家级科研课题（国自然、973、863、科技部重大专项、国家科技支撑计划、国家星火计划、国家火炬计划）≥3项（15分），＜3项按比例得分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2.近10年牵头负责与本专科有关的省部级科研课题≥5项（10分），&lt;5项按比例得分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3.近10年专科人员获得过省级以上科技成果奖（国家级排名前5名，省级排名前3名）≥3项（15分），＜3项按比例得分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4.科研成果得到转化，为当地卫生健康行政部门决策提供参考，并在一定范围内得到推广（5分）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5.1.2文章/专著（20分）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1.近5年发表与本专科有关的SCI文章影响因子合计值≥30分（10分），＜30分按比例得分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2.近10年出版了与本专科有关的主编著作≥5部（10分），＜5部按比例得分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widowControl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5.1.3教学（5分）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承担与本专科有关的临床教学或带教任务（5分）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bCs/>
                <w:snapToGrid w:val="0"/>
                <w:kern w:val="0"/>
                <w:sz w:val="20"/>
                <w:szCs w:val="20"/>
              </w:rPr>
              <w:t>5.2能力提升</w:t>
            </w: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（</w:t>
            </w:r>
            <w:r w:rsidRPr="00570FEA"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  <w:t>50</w:t>
            </w: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5.2.1开展培训（10分）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 w:rsidP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2021-2023年举办省级以上与本专科有关的继续医学教育项目培训班≥2次（10分），＜2次按比例得分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5.2.2接收人员进修（10分）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 w:rsidP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2021-2023年接收更年期保健进修人员≥10名，且有进修人员考核评估报告和更年期保健进修工作总结报告（</w:t>
            </w:r>
            <w:r w:rsidRPr="00570FEA"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  <w:t>10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分），＜10名按比例得分；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5.2.3基层技术指导（</w:t>
            </w:r>
            <w:r w:rsidRPr="00570FEA"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  <w:t>10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 w:rsidP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2021-2023年对基层医疗机构开展与本专科有关的技术指导≥5次（</w:t>
            </w:r>
            <w:r w:rsidRPr="00570FEA"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  <w:t>5分）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，并有工作总结报告（5分），＜5次按比例得分</w:t>
            </w:r>
          </w:p>
        </w:tc>
      </w:tr>
      <w:tr w:rsidR="00BC784E">
        <w:trPr>
          <w:trHeight w:val="532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5.2.4专科引领（20分）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近10年本机构培养的人员（含进修人员、研究生等）成为所在机构更年期保健学科带头人的数量≥10名（10分），＜10名按比例得分</w:t>
            </w:r>
          </w:p>
        </w:tc>
      </w:tr>
      <w:tr w:rsidR="00BC784E">
        <w:trPr>
          <w:trHeight w:val="515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近3年，本机构至少与3家基层医疗保健机构建立转会诊网络，并有基层更年期保健服务能力提升报告及数据资料（10分）</w:t>
            </w:r>
          </w:p>
        </w:tc>
      </w:tr>
      <w:tr w:rsidR="00BC784E">
        <w:trPr>
          <w:trHeight w:val="20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5.3信息管理（</w:t>
            </w:r>
            <w:r w:rsidRPr="00570FEA"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  <w:t>40</w:t>
            </w:r>
            <w:r w:rsidRPr="00570FE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5.3.1收集、分析、上报和反馈相关数据和信息（</w:t>
            </w:r>
            <w:r w:rsidRPr="00570FEA"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  <w:t>40</w:t>
            </w: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分）</w:t>
            </w: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1.建立机构内更年期保健工作核心指标（5分），收集相关数据并进行电子化管理（10分），并且能够与医院的信息系统数据互联互通（5分）</w:t>
            </w:r>
          </w:p>
        </w:tc>
      </w:tr>
      <w:tr w:rsidR="00BC784E">
        <w:trPr>
          <w:trHeight w:val="194"/>
          <w:jc w:val="center"/>
        </w:trPr>
        <w:tc>
          <w:tcPr>
            <w:tcW w:w="13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29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BC784E">
            <w:pPr>
              <w:adjustRightInd w:val="0"/>
              <w:snapToGrid w:val="0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</w:p>
        </w:tc>
        <w:tc>
          <w:tcPr>
            <w:tcW w:w="8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84E" w:rsidRPr="00570FEA" w:rsidRDefault="00DB57F1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570FEA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2.对更年期保健工作核心指标每半年进行分析（10分），形成数据分析报告（5分），制定并落实工作持续改进措施（5分）</w:t>
            </w:r>
          </w:p>
        </w:tc>
      </w:tr>
      <w:bookmarkEnd w:id="0"/>
    </w:tbl>
    <w:p w:rsidR="00BC784E" w:rsidRDefault="00BC784E"/>
    <w:sectPr w:rsidR="00BC784E">
      <w:footerReference w:type="default" r:id="rId7"/>
      <w:footerReference w:type="first" r:id="rId8"/>
      <w:pgSz w:w="16838" w:h="11906" w:orient="landscape"/>
      <w:pgMar w:top="720" w:right="720" w:bottom="720" w:left="720" w:header="851" w:footer="992" w:gutter="0"/>
      <w:cols w:space="720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47C2" w:rsidRDefault="001B47C2">
      <w:r>
        <w:separator/>
      </w:r>
    </w:p>
  </w:endnote>
  <w:endnote w:type="continuationSeparator" w:id="0">
    <w:p w:rsidR="001B47C2" w:rsidRDefault="001B4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swiss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84E" w:rsidRDefault="00DB57F1">
    <w:pPr>
      <w:pStyle w:val="ad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C784E" w:rsidRDefault="00DB57F1">
                          <w:pPr>
                            <w:pStyle w:val="ad"/>
                            <w:rPr>
                              <w:rFonts w:eastAsia="仿宋_GB231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67214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BC784E" w:rsidRDefault="00DB57F1">
                    <w:pPr>
                      <w:pStyle w:val="ad"/>
                      <w:rPr>
                        <w:rFonts w:eastAsia="仿宋_GB231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67214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784E" w:rsidRDefault="00DB57F1">
    <w:pPr>
      <w:pStyle w:val="ad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C784E" w:rsidRDefault="00DB57F1">
                          <w:pPr>
                            <w:pStyle w:val="ad"/>
                            <w:rPr>
                              <w:rFonts w:eastAsia="仿宋_GB231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6721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" filled="f" stroked="f" strokeweight=".5pt">
              <v:textbox style="mso-fit-shape-to-text:t" inset="0,0,0,0">
                <w:txbxContent>
                  <w:p w:rsidR="00BC784E" w:rsidRDefault="00DB57F1">
                    <w:pPr>
                      <w:pStyle w:val="ad"/>
                      <w:rPr>
                        <w:rFonts w:eastAsia="仿宋_GB231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6721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47C2" w:rsidRDefault="001B47C2">
      <w:r>
        <w:separator/>
      </w:r>
    </w:p>
  </w:footnote>
  <w:footnote w:type="continuationSeparator" w:id="0">
    <w:p w:rsidR="001B47C2" w:rsidRDefault="001B4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60"/>
  <w:drawingGridVerticalSpacing w:val="435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83"/>
    <w:rsid w:val="00007295"/>
    <w:rsid w:val="00060D11"/>
    <w:rsid w:val="00067214"/>
    <w:rsid w:val="000C508E"/>
    <w:rsid w:val="000D5576"/>
    <w:rsid w:val="0010682D"/>
    <w:rsid w:val="001B2D75"/>
    <w:rsid w:val="001B47C2"/>
    <w:rsid w:val="001B728C"/>
    <w:rsid w:val="001D6B44"/>
    <w:rsid w:val="001F3945"/>
    <w:rsid w:val="00226DA1"/>
    <w:rsid w:val="002946C3"/>
    <w:rsid w:val="00314F6A"/>
    <w:rsid w:val="00352224"/>
    <w:rsid w:val="003647C8"/>
    <w:rsid w:val="0039385E"/>
    <w:rsid w:val="003C7718"/>
    <w:rsid w:val="003D1A61"/>
    <w:rsid w:val="003D4CEB"/>
    <w:rsid w:val="003E129E"/>
    <w:rsid w:val="00460AE5"/>
    <w:rsid w:val="004E5562"/>
    <w:rsid w:val="00503A45"/>
    <w:rsid w:val="00570FEA"/>
    <w:rsid w:val="00586F30"/>
    <w:rsid w:val="005B13B0"/>
    <w:rsid w:val="005F090B"/>
    <w:rsid w:val="00660188"/>
    <w:rsid w:val="006660CD"/>
    <w:rsid w:val="006704D4"/>
    <w:rsid w:val="007562DE"/>
    <w:rsid w:val="007669C2"/>
    <w:rsid w:val="007D2883"/>
    <w:rsid w:val="007D51AB"/>
    <w:rsid w:val="007D70BD"/>
    <w:rsid w:val="007E6D3A"/>
    <w:rsid w:val="0083060B"/>
    <w:rsid w:val="008333FB"/>
    <w:rsid w:val="008360AE"/>
    <w:rsid w:val="00836A57"/>
    <w:rsid w:val="008449C9"/>
    <w:rsid w:val="00874B02"/>
    <w:rsid w:val="008863FC"/>
    <w:rsid w:val="008A2087"/>
    <w:rsid w:val="008C5919"/>
    <w:rsid w:val="008E735A"/>
    <w:rsid w:val="008F392A"/>
    <w:rsid w:val="009209B4"/>
    <w:rsid w:val="00951277"/>
    <w:rsid w:val="009943DB"/>
    <w:rsid w:val="009B1020"/>
    <w:rsid w:val="009E5BC1"/>
    <w:rsid w:val="009F5F4D"/>
    <w:rsid w:val="00A50F05"/>
    <w:rsid w:val="00A6032A"/>
    <w:rsid w:val="00A634F5"/>
    <w:rsid w:val="00A70F34"/>
    <w:rsid w:val="00A93F8F"/>
    <w:rsid w:val="00B171BD"/>
    <w:rsid w:val="00B44E46"/>
    <w:rsid w:val="00B50827"/>
    <w:rsid w:val="00BC7185"/>
    <w:rsid w:val="00BC784E"/>
    <w:rsid w:val="00C46808"/>
    <w:rsid w:val="00CD188D"/>
    <w:rsid w:val="00CE5EE5"/>
    <w:rsid w:val="00D63492"/>
    <w:rsid w:val="00D932BB"/>
    <w:rsid w:val="00D93BD6"/>
    <w:rsid w:val="00DB57F1"/>
    <w:rsid w:val="00DD22AA"/>
    <w:rsid w:val="00E00E25"/>
    <w:rsid w:val="00E95C3D"/>
    <w:rsid w:val="00EA08B4"/>
    <w:rsid w:val="00EA778B"/>
    <w:rsid w:val="00EB114D"/>
    <w:rsid w:val="00F55A8F"/>
    <w:rsid w:val="00F664A4"/>
    <w:rsid w:val="00F835D1"/>
    <w:rsid w:val="00FA1037"/>
    <w:rsid w:val="00FF5DEA"/>
    <w:rsid w:val="0718280F"/>
    <w:rsid w:val="08013D3C"/>
    <w:rsid w:val="0820366E"/>
    <w:rsid w:val="0A2B5396"/>
    <w:rsid w:val="0AFB421D"/>
    <w:rsid w:val="0DE13160"/>
    <w:rsid w:val="1209140E"/>
    <w:rsid w:val="187426B5"/>
    <w:rsid w:val="1AAF0913"/>
    <w:rsid w:val="1FE95C41"/>
    <w:rsid w:val="2171067A"/>
    <w:rsid w:val="2442572E"/>
    <w:rsid w:val="2A7D7420"/>
    <w:rsid w:val="2FA7273E"/>
    <w:rsid w:val="2FC35879"/>
    <w:rsid w:val="2FE407F6"/>
    <w:rsid w:val="32B81A70"/>
    <w:rsid w:val="32C03F5C"/>
    <w:rsid w:val="331F19E5"/>
    <w:rsid w:val="33560791"/>
    <w:rsid w:val="356A4BBD"/>
    <w:rsid w:val="37091EAD"/>
    <w:rsid w:val="37470ACB"/>
    <w:rsid w:val="3D9B6443"/>
    <w:rsid w:val="3E4C7541"/>
    <w:rsid w:val="401E4AC2"/>
    <w:rsid w:val="406F2063"/>
    <w:rsid w:val="416F64BC"/>
    <w:rsid w:val="42B44077"/>
    <w:rsid w:val="435B0AED"/>
    <w:rsid w:val="442C4003"/>
    <w:rsid w:val="45EB23D7"/>
    <w:rsid w:val="46E516B2"/>
    <w:rsid w:val="4E1C42C2"/>
    <w:rsid w:val="52986DB6"/>
    <w:rsid w:val="54DA608E"/>
    <w:rsid w:val="57114C44"/>
    <w:rsid w:val="57FE324E"/>
    <w:rsid w:val="5BAA2A67"/>
    <w:rsid w:val="637C10B0"/>
    <w:rsid w:val="640148C9"/>
    <w:rsid w:val="6409109C"/>
    <w:rsid w:val="645C57A0"/>
    <w:rsid w:val="656336D6"/>
    <w:rsid w:val="6648189A"/>
    <w:rsid w:val="687E42FA"/>
    <w:rsid w:val="6C574EB4"/>
    <w:rsid w:val="6DE133BA"/>
    <w:rsid w:val="6DEF578E"/>
    <w:rsid w:val="717F5648"/>
    <w:rsid w:val="781566B3"/>
    <w:rsid w:val="7BF22115"/>
    <w:rsid w:val="7CB1364F"/>
    <w:rsid w:val="7D6E411F"/>
    <w:rsid w:val="7DC37EA7"/>
    <w:rsid w:val="7EA3776A"/>
    <w:rsid w:val="7F00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79CCA9D-8CC2-4759-BCF0-A2B55EA6A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qFormat/>
    <w:rPr>
      <w:rFonts w:eastAsia="宋体"/>
      <w:b/>
      <w:bCs/>
      <w:sz w:val="21"/>
    </w:rPr>
  </w:style>
  <w:style w:type="paragraph" w:styleId="a4">
    <w:name w:val="annotation text"/>
    <w:basedOn w:val="a"/>
    <w:link w:val="a6"/>
    <w:uiPriority w:val="99"/>
    <w:qFormat/>
    <w:pPr>
      <w:jc w:val="left"/>
    </w:pPr>
  </w:style>
  <w:style w:type="paragraph" w:styleId="a7">
    <w:name w:val="Body Text"/>
    <w:basedOn w:val="a"/>
    <w:link w:val="a8"/>
    <w:qFormat/>
    <w:pPr>
      <w:spacing w:after="120"/>
    </w:pPr>
    <w:rPr>
      <w:rFonts w:eastAsia="宋体"/>
      <w:sz w:val="21"/>
    </w:rPr>
  </w:style>
  <w:style w:type="paragraph" w:styleId="a9">
    <w:name w:val="Body Text Indent"/>
    <w:basedOn w:val="a"/>
    <w:link w:val="aa"/>
    <w:qFormat/>
    <w:pPr>
      <w:spacing w:line="360" w:lineRule="auto"/>
      <w:ind w:firstLine="600"/>
    </w:pPr>
    <w:rPr>
      <w:sz w:val="30"/>
    </w:rPr>
  </w:style>
  <w:style w:type="paragraph" w:styleId="ab">
    <w:name w:val="Balloon Text"/>
    <w:basedOn w:val="a"/>
    <w:link w:val="ac"/>
    <w:qFormat/>
    <w:rPr>
      <w:rFonts w:eastAsia="宋体"/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f">
    <w:name w:val="header"/>
    <w:basedOn w:val="a"/>
    <w:link w:val="af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af1">
    <w:name w:val="Subtitle"/>
    <w:basedOn w:val="a"/>
    <w:next w:val="a"/>
    <w:link w:val="af2"/>
    <w:qFormat/>
    <w:pPr>
      <w:spacing w:before="240" w:after="60" w:line="312" w:lineRule="auto"/>
      <w:outlineLvl w:val="1"/>
    </w:pPr>
    <w:rPr>
      <w:rFonts w:ascii="Cambria" w:eastAsia="楷体_GB2312" w:hAnsi="Cambria"/>
      <w:b/>
      <w:bCs/>
      <w:kern w:val="28"/>
      <w:szCs w:val="32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4">
    <w:name w:val="Strong"/>
    <w:qFormat/>
    <w:rPr>
      <w:b/>
      <w:bCs/>
    </w:rPr>
  </w:style>
  <w:style w:type="character" w:styleId="af5">
    <w:name w:val="page number"/>
    <w:qFormat/>
  </w:style>
  <w:style w:type="character" w:styleId="af6">
    <w:name w:val="FollowedHyperlink"/>
    <w:uiPriority w:val="99"/>
    <w:unhideWhenUsed/>
    <w:qFormat/>
    <w:rPr>
      <w:color w:val="800080"/>
      <w:u w:val="single"/>
    </w:rPr>
  </w:style>
  <w:style w:type="character" w:styleId="af7">
    <w:name w:val="Emphasis"/>
    <w:basedOn w:val="a0"/>
    <w:qFormat/>
    <w:rPr>
      <w:i/>
    </w:rPr>
  </w:style>
  <w:style w:type="character" w:styleId="af8">
    <w:name w:val="Hyperlink"/>
    <w:qFormat/>
    <w:rPr>
      <w:color w:val="0000FF"/>
      <w:u w:val="single"/>
    </w:rPr>
  </w:style>
  <w:style w:type="character" w:styleId="af9">
    <w:name w:val="annotation reference"/>
    <w:uiPriority w:val="99"/>
    <w:qFormat/>
    <w:rPr>
      <w:sz w:val="21"/>
      <w:szCs w:val="21"/>
    </w:rPr>
  </w:style>
  <w:style w:type="table" w:styleId="af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paragraph" w:customStyle="1" w:styleId="Style20">
    <w:name w:val="_Style 20"/>
    <w:uiPriority w:val="99"/>
    <w:unhideWhenUsed/>
    <w:qFormat/>
    <w:rPr>
      <w:rFonts w:eastAsia="仿宋_GB2312"/>
      <w:kern w:val="2"/>
      <w:sz w:val="32"/>
      <w:szCs w:val="24"/>
    </w:rPr>
  </w:style>
  <w:style w:type="paragraph" w:customStyle="1" w:styleId="11">
    <w:name w:val="样式1"/>
    <w:basedOn w:val="a"/>
    <w:qFormat/>
    <w:rPr>
      <w:rFonts w:ascii="仿宋_GB2312"/>
      <w:sz w:val="2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eastAsia="宋体"/>
      <w:sz w:val="21"/>
    </w:rPr>
  </w:style>
  <w:style w:type="paragraph" w:customStyle="1" w:styleId="ListParagraph1">
    <w:name w:val="List Paragraph1"/>
    <w:basedOn w:val="a"/>
    <w:uiPriority w:val="34"/>
    <w:qFormat/>
    <w:pPr>
      <w:ind w:firstLineChars="200" w:firstLine="420"/>
    </w:pPr>
  </w:style>
  <w:style w:type="paragraph" w:customStyle="1" w:styleId="13">
    <w:name w:val="列出段落1"/>
    <w:basedOn w:val="a"/>
    <w:uiPriority w:val="34"/>
    <w:qFormat/>
    <w:pPr>
      <w:ind w:firstLineChars="200" w:firstLine="420"/>
    </w:pPr>
    <w:rPr>
      <w:rFonts w:ascii="Calibri" w:eastAsia="宋体" w:hAnsi="Calibri"/>
    </w:rPr>
  </w:style>
  <w:style w:type="character" w:customStyle="1" w:styleId="a6">
    <w:name w:val="批注文字 字符"/>
    <w:link w:val="a4"/>
    <w:uiPriority w:val="99"/>
    <w:qFormat/>
    <w:rPr>
      <w:rFonts w:eastAsia="仿宋_GB2312"/>
      <w:kern w:val="2"/>
      <w:sz w:val="32"/>
      <w:szCs w:val="24"/>
    </w:rPr>
  </w:style>
  <w:style w:type="character" w:customStyle="1" w:styleId="ac">
    <w:name w:val="批注框文本 字符"/>
    <w:link w:val="ab"/>
    <w:qFormat/>
    <w:rPr>
      <w:kern w:val="2"/>
      <w:sz w:val="18"/>
      <w:szCs w:val="18"/>
    </w:rPr>
  </w:style>
  <w:style w:type="character" w:customStyle="1" w:styleId="Char1">
    <w:name w:val="批注框文本 Char1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10">
    <w:name w:val="正文文本缩进 Char1"/>
    <w:qFormat/>
    <w:rPr>
      <w:rFonts w:eastAsia="仿宋_GB2312"/>
      <w:kern w:val="2"/>
      <w:sz w:val="32"/>
      <w:szCs w:val="24"/>
    </w:rPr>
  </w:style>
  <w:style w:type="character" w:customStyle="1" w:styleId="concon20071">
    <w:name w:val="concon20071"/>
    <w:uiPriority w:val="99"/>
    <w:qFormat/>
    <w:rPr>
      <w:sz w:val="19"/>
    </w:rPr>
  </w:style>
  <w:style w:type="character" w:customStyle="1" w:styleId="af0">
    <w:name w:val="页眉 字符"/>
    <w:link w:val="af"/>
    <w:uiPriority w:val="99"/>
    <w:qFormat/>
    <w:rPr>
      <w:kern w:val="2"/>
      <w:sz w:val="18"/>
      <w:szCs w:val="18"/>
    </w:rPr>
  </w:style>
  <w:style w:type="character" w:customStyle="1" w:styleId="10">
    <w:name w:val="标题 1 字符"/>
    <w:link w:val="1"/>
    <w:qFormat/>
    <w:rPr>
      <w:rFonts w:eastAsia="黑体"/>
      <w:b/>
      <w:bCs/>
      <w:kern w:val="44"/>
      <w:sz w:val="32"/>
      <w:szCs w:val="44"/>
    </w:rPr>
  </w:style>
  <w:style w:type="character" w:customStyle="1" w:styleId="Char11">
    <w:name w:val="页眉 Char1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a">
    <w:name w:val="正文文本缩进 字符"/>
    <w:link w:val="a9"/>
    <w:qFormat/>
    <w:rPr>
      <w:rFonts w:eastAsia="仿宋_GB2312"/>
      <w:kern w:val="2"/>
      <w:sz w:val="30"/>
      <w:szCs w:val="24"/>
    </w:rPr>
  </w:style>
  <w:style w:type="character" w:customStyle="1" w:styleId="Char12">
    <w:name w:val="批注主题 Char1"/>
    <w:qFormat/>
    <w:rPr>
      <w:rFonts w:eastAsia="仿宋_GB2312"/>
      <w:b/>
      <w:bCs/>
      <w:kern w:val="2"/>
      <w:sz w:val="32"/>
      <w:szCs w:val="24"/>
    </w:rPr>
  </w:style>
  <w:style w:type="character" w:customStyle="1" w:styleId="af2">
    <w:name w:val="副标题 字符"/>
    <w:link w:val="af1"/>
    <w:qFormat/>
    <w:rPr>
      <w:rFonts w:ascii="Cambria" w:eastAsia="楷体_GB2312" w:hAnsi="Cambria"/>
      <w:b/>
      <w:bCs/>
      <w:kern w:val="28"/>
      <w:sz w:val="32"/>
      <w:szCs w:val="32"/>
    </w:rPr>
  </w:style>
  <w:style w:type="character" w:customStyle="1" w:styleId="Char">
    <w:name w:val="批注文字 Char"/>
    <w:uiPriority w:val="99"/>
    <w:qFormat/>
    <w:rPr>
      <w:kern w:val="2"/>
      <w:sz w:val="21"/>
      <w:szCs w:val="24"/>
    </w:rPr>
  </w:style>
  <w:style w:type="character" w:customStyle="1" w:styleId="Char13">
    <w:name w:val="页脚 Char1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5">
    <w:name w:val="批注主题 字符"/>
    <w:link w:val="a3"/>
    <w:qFormat/>
    <w:rPr>
      <w:b/>
      <w:bCs/>
      <w:kern w:val="2"/>
      <w:sz w:val="21"/>
      <w:szCs w:val="24"/>
    </w:rPr>
  </w:style>
  <w:style w:type="character" w:customStyle="1" w:styleId="Char2">
    <w:name w:val="副标题 Char2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4">
    <w:name w:val="正文文本 Char1"/>
    <w:qFormat/>
    <w:rPr>
      <w:rFonts w:eastAsia="仿宋_GB2312"/>
      <w:kern w:val="2"/>
      <w:sz w:val="32"/>
      <w:szCs w:val="24"/>
    </w:rPr>
  </w:style>
  <w:style w:type="character" w:customStyle="1" w:styleId="Char15">
    <w:name w:val="副标题 Char1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e">
    <w:name w:val="页脚 字符"/>
    <w:link w:val="ad"/>
    <w:uiPriority w:val="99"/>
    <w:qFormat/>
    <w:rPr>
      <w:kern w:val="2"/>
      <w:sz w:val="18"/>
      <w:szCs w:val="18"/>
    </w:rPr>
  </w:style>
  <w:style w:type="character" w:customStyle="1" w:styleId="a8">
    <w:name w:val="正文文本 字符"/>
    <w:link w:val="a7"/>
    <w:qFormat/>
    <w:rPr>
      <w:kern w:val="2"/>
      <w:sz w:val="21"/>
      <w:szCs w:val="24"/>
    </w:rPr>
  </w:style>
  <w:style w:type="table" w:customStyle="1" w:styleId="14">
    <w:name w:val="网格型1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5">
    <w:name w:val="修订1"/>
    <w:hidden/>
    <w:uiPriority w:val="99"/>
    <w:semiHidden/>
    <w:qFormat/>
    <w:rPr>
      <w:rFonts w:eastAsia="仿宋_GB2312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716</Words>
  <Characters>4083</Characters>
  <Application>Microsoft Office Word</Application>
  <DocSecurity>0</DocSecurity>
  <Lines>34</Lines>
  <Paragraphs>9</Paragraphs>
  <ScaleCrop>false</ScaleCrop>
  <Company>Powerise</Company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卫 生 部 司（局）便 函</dc:title>
  <dc:creator>vv</dc:creator>
  <cp:lastModifiedBy>Windows 用户</cp:lastModifiedBy>
  <cp:revision>8</cp:revision>
  <cp:lastPrinted>2020-06-16T07:08:00Z</cp:lastPrinted>
  <dcterms:created xsi:type="dcterms:W3CDTF">2020-06-19T07:38:00Z</dcterms:created>
  <dcterms:modified xsi:type="dcterms:W3CDTF">2024-05-07T08:31:00Z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